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高效液相色谱仪培训方案</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为满足校内师生使用需求，</w:t>
      </w:r>
      <w:r>
        <w:rPr>
          <w:rFonts w:hint="eastAsia" w:ascii="Times New Roman" w:hAnsi="Times New Roman" w:eastAsia="宋体" w:cs="Times New Roman"/>
          <w:szCs w:val="21"/>
        </w:rPr>
        <w:t>丽水学院中医药与健康产业学院分析测试中心</w:t>
      </w:r>
      <w:r>
        <w:rPr>
          <w:rFonts w:hint="eastAsia" w:ascii="宋体" w:hAnsi="宋体" w:eastAsia="宋体" w:cs="宋体"/>
          <w:kern w:val="0"/>
          <w:szCs w:val="21"/>
          <w:shd w:val="clear" w:color="auto" w:fill="FFFFFF"/>
        </w:rPr>
        <w:t>（以下简称“中心”）</w:t>
      </w:r>
      <w:r>
        <w:rPr>
          <w:rFonts w:hint="eastAsia" w:ascii="宋体" w:hAnsi="宋体" w:eastAsia="宋体" w:cs="宋体"/>
          <w:kern w:val="0"/>
          <w:szCs w:val="21"/>
          <w:shd w:val="clear" w:color="auto" w:fill="FFFFFF"/>
          <w:lang w:eastAsia="zh-CN"/>
        </w:rPr>
        <w:t>，</w:t>
      </w:r>
      <w:r>
        <w:rPr>
          <w:rFonts w:ascii="Times New Roman" w:hAnsi="Times New Roman" w:eastAsia="宋体" w:cs="Times New Roman"/>
          <w:szCs w:val="21"/>
        </w:rPr>
        <w:t>将开展</w:t>
      </w:r>
      <w:r>
        <w:rPr>
          <w:rFonts w:hint="eastAsia" w:ascii="Times New Roman" w:hAnsi="Times New Roman" w:eastAsia="宋体" w:cs="Times New Roman"/>
          <w:szCs w:val="21"/>
        </w:rPr>
        <w:t>高效液相色谱仪培训（第一期）</w:t>
      </w:r>
      <w:r>
        <w:rPr>
          <w:rFonts w:ascii="Times New Roman" w:hAnsi="Times New Roman" w:eastAsia="宋体" w:cs="Times New Roman"/>
          <w:szCs w:val="21"/>
        </w:rPr>
        <w:t>，培训方案</w:t>
      </w:r>
      <w:r>
        <w:rPr>
          <w:rFonts w:hint="eastAsia" w:ascii="Times New Roman" w:hAnsi="Times New Roman" w:eastAsia="宋体" w:cs="Times New Roman"/>
          <w:szCs w:val="21"/>
          <w:lang w:val="en-US" w:eastAsia="zh-CN"/>
        </w:rPr>
        <w:t>如下</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p>
    <w:p>
      <w:pPr>
        <w:numPr>
          <w:ilvl w:val="0"/>
          <w:numId w:val="1"/>
        </w:num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高效液相色谱仪设备操作培训面向丽水学院全校</w:t>
      </w:r>
      <w:r>
        <w:rPr>
          <w:rFonts w:hint="eastAsia" w:ascii="Times New Roman" w:hAnsi="Times New Roman" w:eastAsia="宋体" w:cs="Times New Roman"/>
          <w:szCs w:val="21"/>
        </w:rPr>
        <w:t>教师、研究生、高年级本科生（大二及以上）</w:t>
      </w:r>
      <w:r>
        <w:rPr>
          <w:rFonts w:ascii="Times New Roman" w:hAnsi="Times New Roman" w:eastAsia="宋体" w:cs="Times New Roman"/>
          <w:szCs w:val="21"/>
        </w:rPr>
        <w:t>，培训内容包括理论讲解</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上机</w:t>
      </w:r>
      <w:r>
        <w:rPr>
          <w:rFonts w:ascii="Times New Roman" w:hAnsi="Times New Roman" w:eastAsia="宋体" w:cs="Times New Roman"/>
          <w:szCs w:val="21"/>
        </w:rPr>
        <w:t>操作</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理论考核、上机考核四个部分</w:t>
      </w:r>
      <w:r>
        <w:rPr>
          <w:rFonts w:ascii="Times New Roman" w:hAnsi="Times New Roman" w:eastAsia="宋体" w:cs="Times New Roman"/>
          <w:szCs w:val="21"/>
        </w:rPr>
        <w:t>。通过考核</w:t>
      </w:r>
      <w:r>
        <w:rPr>
          <w:rFonts w:hint="eastAsia" w:ascii="Times New Roman" w:hAnsi="Times New Roman" w:eastAsia="宋体" w:cs="Times New Roman"/>
          <w:szCs w:val="21"/>
          <w:lang w:val="en-US" w:eastAsia="zh-CN"/>
        </w:rPr>
        <w:t>的</w:t>
      </w:r>
      <w:r>
        <w:rPr>
          <w:rFonts w:ascii="Times New Roman" w:hAnsi="Times New Roman" w:eastAsia="宋体" w:cs="Times New Roman"/>
          <w:szCs w:val="21"/>
        </w:rPr>
        <w:t>用户</w:t>
      </w:r>
      <w:r>
        <w:rPr>
          <w:rFonts w:ascii="Times New Roman" w:hAnsi="Times New Roman" w:eastAsia="宋体" w:cs="Times New Roman"/>
          <w:kern w:val="0"/>
          <w:szCs w:val="21"/>
        </w:rPr>
        <w:t>将</w:t>
      </w:r>
      <w:r>
        <w:rPr>
          <w:rFonts w:hint="eastAsia" w:ascii="Times New Roman" w:hAnsi="Times New Roman" w:eastAsia="宋体" w:cs="Times New Roman"/>
          <w:kern w:val="0"/>
          <w:szCs w:val="21"/>
        </w:rPr>
        <w:t>获得</w:t>
      </w:r>
      <w:r>
        <w:rPr>
          <w:rFonts w:ascii="Times New Roman" w:hAnsi="Times New Roman" w:eastAsia="宋体" w:cs="Times New Roman"/>
          <w:kern w:val="0"/>
          <w:szCs w:val="21"/>
        </w:rPr>
        <w:t>中心</w:t>
      </w:r>
      <w:r>
        <w:rPr>
          <w:rFonts w:hint="eastAsia" w:ascii="Times New Roman" w:hAnsi="Times New Roman" w:eastAsia="宋体" w:cs="Times New Roman"/>
          <w:kern w:val="0"/>
          <w:szCs w:val="21"/>
        </w:rPr>
        <w:t>颁发的“高效液相色谱仪自主操作资格证书”</w:t>
      </w:r>
      <w:r>
        <w:rPr>
          <w:rFonts w:hint="eastAsia" w:ascii="Times New Roman" w:hAnsi="Times New Roman" w:eastAsia="宋体" w:cs="Times New Roman"/>
          <w:kern w:val="0"/>
          <w:szCs w:val="21"/>
          <w:lang w:eastAsia="zh-CN"/>
        </w:rPr>
        <w:t>。</w:t>
      </w:r>
    </w:p>
    <w:p>
      <w:pPr>
        <w:numPr>
          <w:ilvl w:val="0"/>
          <w:numId w:val="1"/>
        </w:num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取得</w:t>
      </w:r>
      <w:r>
        <w:rPr>
          <w:rFonts w:hint="eastAsia" w:ascii="Times New Roman" w:hAnsi="Times New Roman" w:eastAsia="宋体" w:cs="Times New Roman"/>
          <w:szCs w:val="21"/>
        </w:rPr>
        <w:t>高效液相色谱仪</w:t>
      </w:r>
      <w:r>
        <w:rPr>
          <w:rFonts w:ascii="Times New Roman" w:hAnsi="Times New Roman" w:eastAsia="宋体" w:cs="Times New Roman"/>
          <w:szCs w:val="21"/>
        </w:rPr>
        <w:t>自主操作资格证的用户，签订自主操作用户责任书</w:t>
      </w:r>
      <w:r>
        <w:rPr>
          <w:rFonts w:hint="eastAsia" w:ascii="Times New Roman" w:hAnsi="Times New Roman" w:eastAsia="宋体" w:cs="Times New Roman"/>
          <w:szCs w:val="21"/>
        </w:rPr>
        <w:t>（</w:t>
      </w:r>
      <w:r>
        <w:rPr>
          <w:rFonts w:hint="eastAsia" w:ascii="Times New Roman" w:hAnsi="Times New Roman" w:eastAsia="宋体" w:cs="Times New Roman"/>
          <w:b/>
          <w:szCs w:val="21"/>
        </w:rPr>
        <w:t>见附件4）</w:t>
      </w:r>
      <w:r>
        <w:rPr>
          <w:rFonts w:ascii="Times New Roman" w:hAnsi="Times New Roman" w:eastAsia="宋体" w:cs="Times New Roman"/>
          <w:szCs w:val="21"/>
        </w:rPr>
        <w:t>，可</w:t>
      </w:r>
      <w:r>
        <w:rPr>
          <w:rFonts w:ascii="Times New Roman" w:hAnsi="Times New Roman" w:eastAsia="宋体" w:cs="Times New Roman"/>
          <w:kern w:val="0"/>
          <w:szCs w:val="21"/>
        </w:rPr>
        <w:t>享受</w:t>
      </w:r>
      <w:r>
        <w:rPr>
          <w:rFonts w:hint="eastAsia" w:ascii="Times New Roman" w:hAnsi="Times New Roman" w:eastAsia="宋体" w:cs="Times New Roman"/>
          <w:kern w:val="0"/>
          <w:szCs w:val="21"/>
        </w:rPr>
        <w:t>高效液相色谱仪24 h开放机时预约使用优惠</w:t>
      </w:r>
      <w:r>
        <w:rPr>
          <w:rFonts w:ascii="Times New Roman" w:hAnsi="Times New Roman" w:eastAsia="宋体" w:cs="Times New Roman"/>
          <w:kern w:val="0"/>
          <w:szCs w:val="21"/>
        </w:rPr>
        <w:t>政策</w:t>
      </w:r>
      <w:r>
        <w:rPr>
          <w:rFonts w:hint="eastAsia" w:ascii="Times New Roman" w:hAnsi="Times New Roman" w:eastAsia="宋体" w:cs="Times New Roman"/>
          <w:kern w:val="0"/>
          <w:szCs w:val="21"/>
        </w:rPr>
        <w:t>。</w:t>
      </w:r>
    </w:p>
    <w:p>
      <w:pPr>
        <w:numPr>
          <w:ilvl w:val="0"/>
          <w:numId w:val="1"/>
        </w:num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培训报名流程为：用户需填写《</w:t>
      </w:r>
      <w:r>
        <w:rPr>
          <w:rFonts w:hint="eastAsia" w:ascii="Times New Roman" w:hAnsi="Times New Roman" w:eastAsia="宋体" w:cs="Times New Roman"/>
          <w:szCs w:val="21"/>
        </w:rPr>
        <w:t>丽水学院中医药与健康产业学院分析测试中心</w:t>
      </w:r>
      <w:r>
        <w:rPr>
          <w:rFonts w:ascii="Times New Roman" w:hAnsi="Times New Roman" w:eastAsia="宋体" w:cs="Times New Roman"/>
          <w:szCs w:val="21"/>
        </w:rPr>
        <w:t>用户操作技能培训报名表》（</w:t>
      </w:r>
      <w:r>
        <w:rPr>
          <w:rFonts w:hint="eastAsia" w:ascii="Times New Roman" w:hAnsi="Times New Roman" w:eastAsia="宋体" w:cs="Times New Roman"/>
          <w:b/>
          <w:szCs w:val="21"/>
        </w:rPr>
        <w:t>见附件2</w:t>
      </w:r>
      <w:r>
        <w:rPr>
          <w:rFonts w:ascii="Times New Roman" w:hAnsi="Times New Roman" w:eastAsia="宋体" w:cs="Times New Roman"/>
          <w:b/>
          <w:szCs w:val="21"/>
        </w:rPr>
        <w:t>）</w:t>
      </w:r>
      <w:r>
        <w:rPr>
          <w:rFonts w:ascii="Times New Roman" w:hAnsi="Times New Roman" w:eastAsia="宋体" w:cs="Times New Roman"/>
          <w:szCs w:val="21"/>
        </w:rPr>
        <w:t>，将报名表和合格证提交</w:t>
      </w:r>
      <w:r>
        <w:rPr>
          <w:rFonts w:hint="eastAsia" w:ascii="Times New Roman" w:hAnsi="Times New Roman" w:eastAsia="宋体" w:cs="Times New Roman"/>
          <w:szCs w:val="21"/>
        </w:rPr>
        <w:t>机组负责人</w:t>
      </w:r>
      <w:r>
        <w:rPr>
          <w:rFonts w:ascii="Times New Roman" w:hAnsi="Times New Roman" w:eastAsia="宋体" w:cs="Times New Roman"/>
          <w:szCs w:val="21"/>
        </w:rPr>
        <w:t>温慧萍</w:t>
      </w:r>
      <w:r>
        <w:rPr>
          <w:rFonts w:hint="eastAsia" w:ascii="Times New Roman" w:hAnsi="Times New Roman" w:eastAsia="宋体" w:cs="Times New Roman"/>
          <w:szCs w:val="21"/>
        </w:rPr>
        <w:t>（教17-301）</w:t>
      </w:r>
      <w:r>
        <w:rPr>
          <w:rFonts w:ascii="Times New Roman" w:hAnsi="Times New Roman" w:eastAsia="宋体" w:cs="Times New Roman"/>
          <w:szCs w:val="21"/>
        </w:rPr>
        <w:t>，由设备技术人员安排培训及考核。</w:t>
      </w:r>
    </w:p>
    <w:p>
      <w:pPr>
        <w:numPr>
          <w:ilvl w:val="0"/>
          <w:numId w:val="1"/>
        </w:num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为了延长仪器设备使用寿命，减少故障，降低安全事故的发生率，保障开放服务和教学、科研活动的有序开展，开展仪器培训活动期间遵循</w:t>
      </w:r>
      <w:r>
        <w:rPr>
          <w:rFonts w:hint="eastAsia" w:ascii="Times New Roman" w:hAnsi="Times New Roman" w:eastAsia="宋体" w:cs="Times New Roman"/>
          <w:b/>
          <w:szCs w:val="21"/>
        </w:rPr>
        <w:t>《丽水学院中医药与健康产业学院分析测试中心仪器设备操作培训管理办法》</w:t>
      </w:r>
      <w:r>
        <w:rPr>
          <w:rFonts w:hint="eastAsia" w:ascii="Times New Roman" w:hAnsi="Times New Roman" w:eastAsia="宋体" w:cs="Times New Roman"/>
          <w:szCs w:val="21"/>
        </w:rPr>
        <w:t>。</w:t>
      </w:r>
    </w:p>
    <w:p>
      <w:pPr>
        <w:numPr>
          <w:ilvl w:val="0"/>
          <w:numId w:val="1"/>
        </w:numPr>
        <w:spacing w:line="360" w:lineRule="auto"/>
        <w:ind w:left="0" w:leftChars="0"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具体培训安排如下所示：</w:t>
      </w:r>
    </w:p>
    <w:p>
      <w:pPr>
        <w:spacing w:line="360" w:lineRule="auto"/>
        <w:jc w:val="right"/>
      </w:pPr>
    </w:p>
    <w:p>
      <w:pPr>
        <w:widowControl/>
        <w:jc w:val="left"/>
      </w:pPr>
      <w:r>
        <w:br w:type="page"/>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b/>
          <w:bCs/>
          <w:sz w:val="28"/>
          <w:szCs w:val="28"/>
        </w:rPr>
        <w:t>高效液相色谱仪培训安排</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培训目的</w:t>
      </w:r>
      <w:r>
        <w:rPr>
          <w:rFonts w:ascii="Times New Roman" w:hAnsi="Times New Roman" w:eastAsia="宋体" w:cs="Times New Roman"/>
          <w:szCs w:val="21"/>
        </w:rPr>
        <w:t>：为满足校内师生对高效液相色谱仪的使用需求，更好</w:t>
      </w:r>
      <w:r>
        <w:rPr>
          <w:rFonts w:hint="eastAsia" w:ascii="Times New Roman" w:hAnsi="Times New Roman" w:eastAsia="宋体" w:cs="Times New Roman"/>
          <w:szCs w:val="21"/>
          <w:lang w:val="en-US" w:eastAsia="zh-CN"/>
        </w:rPr>
        <w:t>的</w:t>
      </w:r>
      <w:r>
        <w:rPr>
          <w:rFonts w:ascii="Times New Roman" w:hAnsi="Times New Roman" w:eastAsia="宋体" w:cs="Times New Roman"/>
          <w:szCs w:val="21"/>
        </w:rPr>
        <w:t>支撑</w:t>
      </w:r>
      <w:r>
        <w:rPr>
          <w:rFonts w:hint="eastAsia" w:ascii="Times New Roman" w:hAnsi="Times New Roman" w:eastAsia="宋体" w:cs="Times New Roman"/>
          <w:szCs w:val="21"/>
          <w:lang w:val="en-US" w:eastAsia="zh-CN"/>
        </w:rPr>
        <w:t>教学科研活动高效、有序开展</w:t>
      </w:r>
      <w:r>
        <w:rPr>
          <w:rFonts w:ascii="Times New Roman" w:hAnsi="Times New Roman" w:eastAsia="宋体" w:cs="Times New Roman"/>
          <w:szCs w:val="21"/>
        </w:rPr>
        <w:t>。</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培训方法</w:t>
      </w:r>
      <w:r>
        <w:rPr>
          <w:rFonts w:ascii="Times New Roman" w:hAnsi="Times New Roman" w:eastAsia="宋体" w:cs="Times New Roman"/>
          <w:szCs w:val="21"/>
        </w:rPr>
        <w:t>：</w:t>
      </w:r>
      <w:r>
        <w:rPr>
          <w:rFonts w:hint="eastAsia" w:ascii="Times New Roman" w:hAnsi="Times New Roman" w:eastAsia="宋体" w:cs="Times New Roman"/>
          <w:szCs w:val="21"/>
        </w:rPr>
        <w:t>采用</w:t>
      </w:r>
      <w:r>
        <w:rPr>
          <w:rFonts w:ascii="Times New Roman" w:hAnsi="Times New Roman" w:eastAsia="宋体" w:cs="Times New Roman"/>
          <w:szCs w:val="21"/>
        </w:rPr>
        <w:t>讲授法和上机操作两种模式相结合的培训方法</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培训地点及时间</w:t>
      </w:r>
      <w:r>
        <w:rPr>
          <w:rFonts w:ascii="Times New Roman" w:hAnsi="Times New Roman" w:eastAsia="宋体" w:cs="Times New Roman"/>
          <w:szCs w:val="21"/>
        </w:rPr>
        <w:t>：教17-10</w:t>
      </w:r>
      <w:r>
        <w:rPr>
          <w:rFonts w:hint="eastAsia" w:ascii="Times New Roman" w:hAnsi="Times New Roman" w:eastAsia="宋体" w:cs="Times New Roman"/>
          <w:szCs w:val="21"/>
        </w:rPr>
        <w:t>3</w:t>
      </w:r>
      <w:r>
        <w:rPr>
          <w:rFonts w:ascii="Times New Roman" w:hAnsi="Times New Roman" w:eastAsia="宋体" w:cs="Times New Roman"/>
          <w:szCs w:val="21"/>
        </w:rPr>
        <w:t>，</w:t>
      </w:r>
      <w:r>
        <w:rPr>
          <w:rFonts w:hint="eastAsia" w:ascii="Times New Roman" w:hAnsi="Times New Roman" w:eastAsia="宋体" w:cs="Times New Roman"/>
          <w:szCs w:val="21"/>
        </w:rPr>
        <w:t>2023年7月10-11日</w:t>
      </w:r>
      <w:r>
        <w:rPr>
          <w:rFonts w:ascii="Times New Roman" w:hAnsi="Times New Roman" w:eastAsia="宋体" w:cs="Times New Roman"/>
          <w:szCs w:val="21"/>
        </w:rPr>
        <w:t>。</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培训人数</w:t>
      </w:r>
      <w:r>
        <w:rPr>
          <w:rFonts w:ascii="Times New Roman" w:hAnsi="Times New Roman" w:eastAsia="宋体" w:cs="Times New Roman"/>
          <w:szCs w:val="21"/>
        </w:rPr>
        <w:t>：根据报名人数划分组别，实验操作培训每组不超过</w:t>
      </w:r>
      <w:r>
        <w:rPr>
          <w:rFonts w:hint="eastAsia" w:ascii="Times New Roman" w:hAnsi="Times New Roman" w:eastAsia="宋体" w:cs="Times New Roman"/>
          <w:szCs w:val="21"/>
        </w:rPr>
        <w:t>6</w:t>
      </w:r>
      <w:r>
        <w:rPr>
          <w:rFonts w:ascii="Times New Roman" w:hAnsi="Times New Roman" w:eastAsia="宋体" w:cs="Times New Roman"/>
          <w:szCs w:val="21"/>
        </w:rPr>
        <w:t>人。</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上机练习指定仪器</w:t>
      </w:r>
      <w:r>
        <w:rPr>
          <w:rFonts w:ascii="Times New Roman" w:hAnsi="Times New Roman" w:eastAsia="宋体" w:cs="Times New Roman"/>
          <w:szCs w:val="21"/>
        </w:rPr>
        <w:t>：Waters Arc-HPLC。</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负责培训老师</w:t>
      </w:r>
      <w:r>
        <w:rPr>
          <w:rFonts w:ascii="Times New Roman" w:hAnsi="Times New Roman" w:eastAsia="宋体" w:cs="Times New Roman"/>
          <w:szCs w:val="21"/>
        </w:rPr>
        <w:t>：温慧萍、杨罗星</w:t>
      </w:r>
      <w:r>
        <w:rPr>
          <w:rFonts w:hint="eastAsia" w:ascii="Times New Roman" w:hAnsi="Times New Roman" w:eastAsia="宋体" w:cs="Times New Roman"/>
          <w:szCs w:val="21"/>
        </w:rPr>
        <w:t>、孙晓丽</w:t>
      </w:r>
    </w:p>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培训内容</w:t>
      </w:r>
      <w:r>
        <w:rPr>
          <w:rFonts w:ascii="Times New Roman" w:hAnsi="Times New Roman" w:eastAsia="宋体" w:cs="Times New Roman"/>
          <w:szCs w:val="21"/>
        </w:rPr>
        <w:t>：</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3457"/>
        <w:gridCol w:w="951"/>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bCs/>
                <w:kern w:val="0"/>
                <w:sz w:val="21"/>
                <w:szCs w:val="21"/>
              </w:rPr>
              <w:t>培训主题</w:t>
            </w:r>
          </w:p>
        </w:tc>
        <w:tc>
          <w:tcPr>
            <w:tcW w:w="3457" w:type="dxa"/>
            <w:vAlign w:val="center"/>
          </w:tcPr>
          <w:p>
            <w:pPr>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bCs/>
                <w:kern w:val="0"/>
                <w:sz w:val="21"/>
                <w:szCs w:val="21"/>
              </w:rPr>
              <w:t>培训内容</w:t>
            </w:r>
          </w:p>
        </w:tc>
        <w:tc>
          <w:tcPr>
            <w:tcW w:w="951" w:type="dxa"/>
            <w:vAlign w:val="center"/>
          </w:tcPr>
          <w:p>
            <w:pPr>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bCs/>
                <w:kern w:val="0"/>
                <w:sz w:val="21"/>
                <w:szCs w:val="21"/>
              </w:rPr>
              <w:t>课时</w:t>
            </w:r>
          </w:p>
        </w:tc>
        <w:tc>
          <w:tcPr>
            <w:tcW w:w="1507" w:type="dxa"/>
            <w:vAlign w:val="center"/>
          </w:tcPr>
          <w:p>
            <w:pPr>
              <w:spacing w:line="360" w:lineRule="auto"/>
              <w:jc w:val="center"/>
              <w:rPr>
                <w:rFonts w:ascii="Times New Roman" w:hAnsi="Times New Roman" w:eastAsia="宋体" w:cs="Times New Roman"/>
                <w:b/>
                <w:bCs/>
                <w:kern w:val="0"/>
                <w:sz w:val="20"/>
                <w:szCs w:val="21"/>
              </w:rPr>
            </w:pPr>
            <w:r>
              <w:rPr>
                <w:rFonts w:hint="eastAsia" w:ascii="Times New Roman" w:hAnsi="Times New Roman" w:eastAsia="宋体" w:cs="Times New Roman"/>
                <w:b/>
                <w:bCs/>
                <w:kern w:val="0"/>
                <w:sz w:val="21"/>
                <w:szCs w:val="21"/>
              </w:rPr>
              <w:t>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高效液相色谱</w:t>
            </w:r>
            <w:r>
              <w:rPr>
                <w:rFonts w:hint="eastAsia" w:ascii="Times New Roman" w:hAnsi="Times New Roman" w:eastAsia="宋体" w:cs="Times New Roman"/>
                <w:kern w:val="0"/>
                <w:sz w:val="21"/>
                <w:szCs w:val="21"/>
              </w:rPr>
              <w:t>仪介绍</w:t>
            </w:r>
          </w:p>
        </w:tc>
        <w:tc>
          <w:tcPr>
            <w:tcW w:w="3457" w:type="dxa"/>
          </w:tcPr>
          <w:p>
            <w:pPr>
              <w:numPr>
                <w:ilvl w:val="0"/>
                <w:numId w:val="2"/>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HPLC的发展历史</w:t>
            </w:r>
          </w:p>
          <w:p>
            <w:pPr>
              <w:numPr>
                <w:ilvl w:val="0"/>
                <w:numId w:val="2"/>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HPLC的原理及特点</w:t>
            </w:r>
          </w:p>
          <w:p>
            <w:pPr>
              <w:numPr>
                <w:ilvl w:val="0"/>
                <w:numId w:val="2"/>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HPLC的仪器组成</w:t>
            </w:r>
          </w:p>
          <w:p>
            <w:pPr>
              <w:numPr>
                <w:ilvl w:val="0"/>
                <w:numId w:val="2"/>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应用范围</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4</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restart"/>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上机培训</w:t>
            </w:r>
          </w:p>
        </w:tc>
        <w:tc>
          <w:tcPr>
            <w:tcW w:w="3457" w:type="dxa"/>
          </w:tcPr>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分析方法建立</w:t>
            </w:r>
          </w:p>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数据分析</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3</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vAlign w:val="center"/>
          </w:tcPr>
          <w:p>
            <w:pPr>
              <w:spacing w:line="360" w:lineRule="auto"/>
              <w:jc w:val="center"/>
              <w:rPr>
                <w:rFonts w:ascii="Times New Roman" w:hAnsi="Times New Roman" w:eastAsia="宋体" w:cs="Times New Roman"/>
                <w:kern w:val="0"/>
                <w:sz w:val="20"/>
                <w:szCs w:val="21"/>
              </w:rPr>
            </w:pPr>
          </w:p>
        </w:tc>
        <w:tc>
          <w:tcPr>
            <w:tcW w:w="3457" w:type="dxa"/>
          </w:tcPr>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上机操作</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4</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Merge w:val="continue"/>
            <w:vAlign w:val="center"/>
          </w:tcPr>
          <w:p>
            <w:pPr>
              <w:spacing w:line="360" w:lineRule="auto"/>
              <w:jc w:val="center"/>
              <w:rPr>
                <w:rFonts w:ascii="Times New Roman" w:hAnsi="Times New Roman" w:eastAsia="宋体" w:cs="Times New Roman"/>
                <w:kern w:val="0"/>
                <w:sz w:val="20"/>
                <w:szCs w:val="21"/>
              </w:rPr>
            </w:pPr>
          </w:p>
        </w:tc>
        <w:tc>
          <w:tcPr>
            <w:tcW w:w="3457" w:type="dxa"/>
          </w:tcPr>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注意事项</w:t>
            </w:r>
          </w:p>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日常维护</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1</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理论考核</w:t>
            </w:r>
          </w:p>
        </w:tc>
        <w:tc>
          <w:tcPr>
            <w:tcW w:w="3457" w:type="dxa"/>
          </w:tcPr>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高效液相色谱相关知识考察</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1</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5"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实操考核</w:t>
            </w:r>
          </w:p>
        </w:tc>
        <w:tc>
          <w:tcPr>
            <w:tcW w:w="3457" w:type="dxa"/>
          </w:tcPr>
          <w:p>
            <w:pPr>
              <w:numPr>
                <w:ilvl w:val="0"/>
                <w:numId w:val="3"/>
              </w:num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上机操作</w:t>
            </w:r>
          </w:p>
        </w:tc>
        <w:tc>
          <w:tcPr>
            <w:tcW w:w="951" w:type="dxa"/>
            <w:vAlign w:val="center"/>
          </w:tcPr>
          <w:p>
            <w:pPr>
              <w:spacing w:line="360" w:lineRule="auto"/>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1"/>
                <w:szCs w:val="21"/>
              </w:rPr>
              <w:t>3</w:t>
            </w:r>
          </w:p>
        </w:tc>
        <w:tc>
          <w:tcPr>
            <w:tcW w:w="1507" w:type="dxa"/>
            <w:vAlign w:val="center"/>
          </w:tcPr>
          <w:p>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1"/>
                <w:szCs w:val="21"/>
              </w:rPr>
              <w:t>教</w:t>
            </w:r>
            <w:r>
              <w:rPr>
                <w:rFonts w:hint="eastAsia" w:ascii="Times New Roman" w:hAnsi="Times New Roman" w:eastAsia="宋体" w:cs="Times New Roman"/>
                <w:kern w:val="0"/>
                <w:sz w:val="21"/>
                <w:szCs w:val="21"/>
              </w:rPr>
              <w:t>17</w:t>
            </w:r>
          </w:p>
        </w:tc>
      </w:tr>
    </w:tbl>
    <w:p>
      <w:pPr>
        <w:spacing w:line="360" w:lineRule="auto"/>
        <w:jc w:val="left"/>
        <w:rPr>
          <w:rFonts w:ascii="Times New Roman" w:hAnsi="Times New Roman" w:eastAsia="宋体" w:cs="Times New Roman"/>
          <w:szCs w:val="21"/>
        </w:rPr>
      </w:pPr>
      <w:r>
        <w:rPr>
          <w:rFonts w:ascii="Times New Roman" w:hAnsi="Times New Roman" w:eastAsia="宋体" w:cs="Times New Roman"/>
          <w:b/>
          <w:bCs/>
          <w:szCs w:val="21"/>
        </w:rPr>
        <w:t>考核方式</w:t>
      </w:r>
    </w:p>
    <w:p>
      <w:pPr>
        <w:spacing w:line="360" w:lineRule="auto"/>
        <w:ind w:firstLine="420" w:firstLineChars="200"/>
        <w:jc w:val="left"/>
        <w:rPr>
          <w:rFonts w:ascii="Times New Roman" w:hAnsi="Times New Roman" w:cs="Times New Roman"/>
          <w:szCs w:val="21"/>
        </w:rPr>
      </w:pPr>
      <w:r>
        <w:rPr>
          <w:rFonts w:ascii="Times New Roman" w:hAnsi="Times New Roman" w:eastAsia="宋体" w:cs="Times New Roman"/>
          <w:szCs w:val="21"/>
        </w:rPr>
        <w:t>采用上机操作和理论考试相结合的方式对用户进行考核，理论考试</w:t>
      </w:r>
      <w:r>
        <w:rPr>
          <w:rFonts w:hint="eastAsia" w:ascii="Times New Roman" w:hAnsi="Times New Roman" w:eastAsia="宋体" w:cs="Times New Roman"/>
          <w:szCs w:val="21"/>
          <w:lang w:val="en-US" w:eastAsia="zh-CN"/>
        </w:rPr>
        <w:t>和</w:t>
      </w:r>
      <w:r>
        <w:rPr>
          <w:rFonts w:hint="eastAsia" w:ascii="Times New Roman" w:hAnsi="Times New Roman" w:eastAsia="宋体" w:cs="Times New Roman"/>
          <w:szCs w:val="21"/>
        </w:rPr>
        <w:t>上机操作</w:t>
      </w:r>
      <w:r>
        <w:rPr>
          <w:rFonts w:ascii="Times New Roman" w:hAnsi="Times New Roman" w:eastAsia="宋体" w:cs="Times New Roman"/>
          <w:szCs w:val="21"/>
        </w:rPr>
        <w:t>考核</w:t>
      </w:r>
      <w:r>
        <w:rPr>
          <w:rFonts w:hint="eastAsia" w:ascii="Times New Roman" w:hAnsi="Times New Roman" w:eastAsia="宋体" w:cs="Times New Roman"/>
          <w:szCs w:val="21"/>
          <w:lang w:val="en-US" w:eastAsia="zh-CN"/>
        </w:rPr>
        <w:t>均达</w:t>
      </w:r>
      <w:r>
        <w:rPr>
          <w:rFonts w:hint="eastAsia" w:ascii="Times New Roman" w:hAnsi="Times New Roman" w:eastAsia="宋体" w:cs="Times New Roman"/>
          <w:szCs w:val="21"/>
        </w:rPr>
        <w:t>80分</w:t>
      </w:r>
      <w:r>
        <w:rPr>
          <w:rFonts w:hint="eastAsia" w:ascii="Times New Roman" w:hAnsi="Times New Roman" w:eastAsia="宋体" w:cs="Times New Roman"/>
          <w:szCs w:val="21"/>
          <w:lang w:val="en-US" w:eastAsia="zh-CN"/>
        </w:rPr>
        <w:t>以上才算考核合格</w:t>
      </w:r>
      <w:r>
        <w:rPr>
          <w:rFonts w:hint="eastAsia" w:ascii="Times New Roman" w:hAnsi="Times New Roman" w:eastAsia="宋体" w:cs="Times New Roman"/>
          <w:szCs w:val="21"/>
        </w:rPr>
        <w:t>。用户拥有一次补考机会</w:t>
      </w:r>
      <w:r>
        <w:rPr>
          <w:rFonts w:hint="eastAsia" w:ascii="Times New Roman" w:hAnsi="Times New Roman" w:eastAsia="宋体" w:cs="Times New Roman"/>
          <w:szCs w:val="21"/>
          <w:lang w:eastAsia="zh-CN"/>
        </w:rPr>
        <w:t>。</w:t>
      </w:r>
      <w:r>
        <w:rPr>
          <w:rFonts w:ascii="Times New Roman" w:hAnsi="Times New Roman" w:eastAsia="宋体" w:cs="Times New Roman"/>
          <w:szCs w:val="21"/>
        </w:rPr>
        <w:t>合格者</w:t>
      </w:r>
      <w:r>
        <w:rPr>
          <w:rFonts w:hint="eastAsia" w:ascii="Times New Roman" w:hAnsi="Times New Roman" w:eastAsia="宋体" w:cs="Times New Roman"/>
          <w:szCs w:val="21"/>
          <w:lang w:val="en-US" w:eastAsia="zh-CN"/>
        </w:rPr>
        <w:t>可</w:t>
      </w:r>
      <w:r>
        <w:rPr>
          <w:rFonts w:hint="eastAsia" w:ascii="Times New Roman" w:hAnsi="Times New Roman" w:eastAsia="宋体" w:cs="Times New Roman"/>
          <w:kern w:val="0"/>
          <w:szCs w:val="21"/>
        </w:rPr>
        <w:t>获得</w:t>
      </w:r>
      <w:r>
        <w:rPr>
          <w:rFonts w:ascii="Times New Roman" w:hAnsi="Times New Roman" w:eastAsia="宋体" w:cs="Times New Roman"/>
          <w:kern w:val="0"/>
          <w:szCs w:val="21"/>
        </w:rPr>
        <w:t>中心</w:t>
      </w:r>
      <w:r>
        <w:rPr>
          <w:rFonts w:hint="eastAsia" w:ascii="Times New Roman" w:hAnsi="Times New Roman" w:eastAsia="宋体" w:cs="Times New Roman"/>
          <w:kern w:val="0"/>
          <w:szCs w:val="21"/>
        </w:rPr>
        <w:t>颁发的“高效液相色谱仪自主操作资格证书”</w:t>
      </w:r>
      <w:r>
        <w:rPr>
          <w:rFonts w:ascii="Times New Roman" w:hAnsi="Times New Roman" w:eastAsia="宋体" w:cs="Times New Roman"/>
          <w:szCs w:val="21"/>
        </w:rPr>
        <w:t>。</w:t>
      </w:r>
    </w:p>
    <w:p>
      <w:pPr>
        <w:spacing w:line="360" w:lineRule="auto"/>
        <w:jc w:val="right"/>
        <w:rPr>
          <w:rFonts w:ascii="Times New Roman" w:hAnsi="Times New Roman" w:eastAsia="宋体" w:cs="Times New Roman"/>
          <w:szCs w:val="21"/>
        </w:rPr>
      </w:pPr>
      <w:r>
        <w:fldChar w:fldCharType="begin"/>
      </w:r>
      <w:r>
        <w:instrText xml:space="preserve"> HYPERLINK "http://tcm.lsu.edu.cn/" \t "https://www.lsu.edu.cn/kyjg/_blank" </w:instrText>
      </w:r>
      <w:r>
        <w:fldChar w:fldCharType="separate"/>
      </w:r>
      <w:r>
        <w:rPr>
          <w:rFonts w:hint="eastAsia" w:ascii="Times New Roman" w:hAnsi="Times New Roman" w:eastAsia="宋体" w:cs="Times New Roman"/>
          <w:szCs w:val="21"/>
        </w:rPr>
        <w:t>丽水学院中医药与健康产业学院分析测试中心</w:t>
      </w:r>
      <w:r>
        <w:rPr>
          <w:rFonts w:hint="eastAsia" w:ascii="Times New Roman" w:hAnsi="Times New Roman" w:eastAsia="宋体" w:cs="Times New Roman"/>
          <w:szCs w:val="21"/>
        </w:rPr>
        <w:fldChar w:fldCharType="end"/>
      </w:r>
    </w:p>
    <w:p>
      <w:pPr>
        <w:spacing w:line="360" w:lineRule="auto"/>
        <w:jc w:val="right"/>
        <w:rPr>
          <w:rFonts w:ascii="Times New Roman" w:hAnsi="Times New Roman" w:eastAsia="宋体" w:cs="Times New Roman"/>
          <w:szCs w:val="21"/>
        </w:rPr>
      </w:pPr>
      <w:bookmarkStart w:id="0" w:name="_GoBack"/>
      <w:bookmarkEnd w:id="0"/>
      <w:r>
        <w:rPr>
          <w:rFonts w:ascii="Times New Roman" w:hAnsi="Times New Roman" w:eastAsia="宋体" w:cs="Times New Roman"/>
          <w:szCs w:val="21"/>
        </w:rPr>
        <w:t>2023年</w:t>
      </w:r>
      <w:r>
        <w:rPr>
          <w:rFonts w:hint="eastAsia" w:ascii="Times New Roman" w:hAnsi="Times New Roman" w:eastAsia="宋体" w:cs="Times New Roman"/>
          <w:szCs w:val="21"/>
        </w:rPr>
        <w:t>7</w:t>
      </w:r>
      <w:r>
        <w:rPr>
          <w:rFonts w:ascii="Times New Roman" w:hAnsi="Times New Roman" w:eastAsia="宋体" w:cs="Times New Roman"/>
          <w:szCs w:val="21"/>
        </w:rPr>
        <w:t>月</w:t>
      </w:r>
      <w:r>
        <w:rPr>
          <w:rFonts w:hint="eastAsia" w:ascii="Times New Roman" w:hAnsi="Times New Roman" w:eastAsia="宋体" w:cs="Times New Roman"/>
          <w:szCs w:val="21"/>
        </w:rPr>
        <w:t>4</w:t>
      </w:r>
      <w:r>
        <w:rPr>
          <w:rFonts w:ascii="Times New Roman" w:hAnsi="Times New Roman" w:eastAsia="宋体" w:cs="Times New Roman"/>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3AFA3"/>
    <w:multiLevelType w:val="singleLevel"/>
    <w:tmpl w:val="9743AFA3"/>
    <w:lvl w:ilvl="0" w:tentative="0">
      <w:start w:val="1"/>
      <w:numFmt w:val="decimal"/>
      <w:suff w:val="space"/>
      <w:lvlText w:val="%1."/>
      <w:lvlJc w:val="left"/>
    </w:lvl>
  </w:abstractNum>
  <w:abstractNum w:abstractNumId="1">
    <w:nsid w:val="4CA02B09"/>
    <w:multiLevelType w:val="singleLevel"/>
    <w:tmpl w:val="4CA02B09"/>
    <w:lvl w:ilvl="0" w:tentative="0">
      <w:start w:val="1"/>
      <w:numFmt w:val="decimal"/>
      <w:suff w:val="space"/>
      <w:lvlText w:val="%1."/>
      <w:lvlJc w:val="left"/>
    </w:lvl>
  </w:abstractNum>
  <w:abstractNum w:abstractNumId="2">
    <w:nsid w:val="4F112C3E"/>
    <w:multiLevelType w:val="singleLevel"/>
    <w:tmpl w:val="4F112C3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zFlYmNhOGUyOTJlMmNhOTIwYzdiNmRkODQzY2IifQ=="/>
  </w:docVars>
  <w:rsids>
    <w:rsidRoot w:val="00F65D2C"/>
    <w:rsid w:val="000A502A"/>
    <w:rsid w:val="00192C95"/>
    <w:rsid w:val="002A3886"/>
    <w:rsid w:val="00480B31"/>
    <w:rsid w:val="00827DE7"/>
    <w:rsid w:val="00AB0D6C"/>
    <w:rsid w:val="00F65D2C"/>
    <w:rsid w:val="2B193928"/>
    <w:rsid w:val="2DD675D9"/>
    <w:rsid w:val="4CAB5EFE"/>
    <w:rsid w:val="50D0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892</Characters>
  <Lines>8</Lines>
  <Paragraphs>2</Paragraphs>
  <TotalTime>1</TotalTime>
  <ScaleCrop>false</ScaleCrop>
  <LinksUpToDate>false</LinksUpToDate>
  <CharactersWithSpaces>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2023-07-05T01:39:00Z</dcterms:created>
  <dc:creator>admin</dc:creator>
  <cp:lastModifiedBy>一心</cp:lastModifiedBy>
  <dcterms:modified xsi:type="dcterms:W3CDTF">2023-07-05T06:34:17Z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A09984A4C3484985856C280C187045EB_12</vt:lpwstr>
  </property>
</Properties>
</file>